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C02E1" w:rsidRPr="00497CBB" w:rsidRDefault="009C02E1" w:rsidP="009C02E1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>
        <w:rPr>
          <w:rFonts w:ascii="Century Gothic" w:hAnsi="Century Gothic"/>
          <w:i/>
          <w:sz w:val="20"/>
          <w:szCs w:val="20"/>
        </w:rPr>
        <w:t xml:space="preserve">Załącznik nr </w:t>
      </w:r>
      <w:r w:rsidR="00F62A72">
        <w:rPr>
          <w:rFonts w:ascii="Century Gothic" w:hAnsi="Century Gothic"/>
          <w:i/>
          <w:sz w:val="20"/>
          <w:szCs w:val="20"/>
        </w:rPr>
        <w:t>3</w:t>
      </w:r>
    </w:p>
    <w:p w:rsidR="00C67F35" w:rsidRDefault="009C02E1" w:rsidP="00C67F35">
      <w:pPr>
        <w:pStyle w:val="Nagwek"/>
        <w:tabs>
          <w:tab w:val="center" w:pos="0"/>
          <w:tab w:val="right" w:pos="10773"/>
        </w:tabs>
        <w:jc w:val="center"/>
        <w:rPr>
          <w:rFonts w:ascii="Arial" w:hAnsi="Arial" w:cs="Arial"/>
          <w:sz w:val="16"/>
          <w:szCs w:val="16"/>
        </w:rPr>
      </w:pPr>
      <w:r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="008A7AD7">
        <w:rPr>
          <w:rFonts w:ascii="Century Gothic" w:hAnsi="Century Gothic"/>
          <w:b/>
          <w:color w:val="000000"/>
          <w:sz w:val="20"/>
          <w:szCs w:val="20"/>
        </w:rPr>
        <w:t>06</w:t>
      </w:r>
      <w:r>
        <w:rPr>
          <w:rFonts w:ascii="Century Gothic" w:hAnsi="Century Gothic"/>
          <w:b/>
          <w:color w:val="000000"/>
          <w:sz w:val="20"/>
          <w:szCs w:val="20"/>
        </w:rPr>
        <w:t>/</w:t>
      </w:r>
      <w:r w:rsidR="008F20D5">
        <w:rPr>
          <w:rFonts w:ascii="Century Gothic" w:hAnsi="Century Gothic"/>
          <w:b/>
          <w:color w:val="000000"/>
          <w:sz w:val="20"/>
          <w:szCs w:val="20"/>
        </w:rPr>
        <w:t>0</w:t>
      </w:r>
      <w:r w:rsidR="008A7AD7">
        <w:rPr>
          <w:rFonts w:ascii="Century Gothic" w:hAnsi="Century Gothic"/>
          <w:b/>
          <w:color w:val="000000"/>
          <w:sz w:val="20"/>
          <w:szCs w:val="20"/>
        </w:rPr>
        <w:t>3</w:t>
      </w:r>
      <w:r>
        <w:rPr>
          <w:rFonts w:ascii="Century Gothic" w:hAnsi="Century Gothic"/>
          <w:b/>
          <w:color w:val="000000"/>
          <w:sz w:val="20"/>
          <w:szCs w:val="20"/>
        </w:rPr>
        <w:t>/202</w:t>
      </w:r>
      <w:r w:rsidR="008F20D5">
        <w:rPr>
          <w:rFonts w:ascii="Century Gothic" w:hAnsi="Century Gothic"/>
          <w:b/>
          <w:color w:val="000000"/>
          <w:sz w:val="20"/>
          <w:szCs w:val="20"/>
        </w:rPr>
        <w:t>6</w:t>
      </w:r>
      <w:r>
        <w:rPr>
          <w:rFonts w:ascii="Century Gothic" w:hAnsi="Century Gothic"/>
          <w:b/>
          <w:color w:val="000000"/>
          <w:sz w:val="20"/>
          <w:szCs w:val="20"/>
        </w:rPr>
        <w:t>/</w:t>
      </w:r>
      <w:r w:rsidR="00C67F35">
        <w:rPr>
          <w:rFonts w:ascii="Century Gothic" w:hAnsi="Century Gothic"/>
          <w:b/>
          <w:color w:val="000000"/>
          <w:sz w:val="20"/>
          <w:szCs w:val="20"/>
        </w:rPr>
        <w:t>ZAW</w:t>
      </w:r>
      <w:r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>
        <w:rPr>
          <w:rFonts w:ascii="Century Gothic" w:hAnsi="Century Gothic"/>
          <w:sz w:val="20"/>
          <w:szCs w:val="20"/>
        </w:rPr>
        <w:t xml:space="preserve"> </w:t>
      </w:r>
      <w:r w:rsidRPr="00C67F35">
        <w:rPr>
          <w:rFonts w:ascii="Century Gothic" w:hAnsi="Century Gothic"/>
          <w:b/>
          <w:color w:val="000000"/>
          <w:sz w:val="20"/>
          <w:szCs w:val="20"/>
        </w:rPr>
        <w:t>„</w:t>
      </w:r>
      <w:r w:rsidR="00C67F35" w:rsidRPr="00C67F35">
        <w:rPr>
          <w:rFonts w:ascii="Century Gothic" w:hAnsi="Century Gothic"/>
          <w:b/>
          <w:color w:val="000000"/>
          <w:sz w:val="20"/>
          <w:szCs w:val="20"/>
        </w:rPr>
        <w:t>Projekt „</w:t>
      </w:r>
      <w:proofErr w:type="spellStart"/>
      <w:r w:rsidR="00C67F35" w:rsidRPr="00C67F35">
        <w:rPr>
          <w:rFonts w:ascii="Century Gothic" w:hAnsi="Century Gothic"/>
          <w:b/>
          <w:color w:val="000000"/>
          <w:sz w:val="20"/>
          <w:szCs w:val="20"/>
        </w:rPr>
        <w:t>Międzypowiatowa</w:t>
      </w:r>
      <w:proofErr w:type="spellEnd"/>
      <w:r w:rsidR="00C67F35" w:rsidRPr="00C67F35">
        <w:rPr>
          <w:rFonts w:ascii="Century Gothic" w:hAnsi="Century Gothic"/>
          <w:b/>
          <w:color w:val="000000"/>
          <w:sz w:val="20"/>
          <w:szCs w:val="20"/>
        </w:rPr>
        <w:t xml:space="preserve"> droga</w:t>
      </w:r>
      <w:r w:rsidR="00706F25">
        <w:rPr>
          <w:rFonts w:ascii="Century Gothic" w:hAnsi="Century Gothic"/>
          <w:b/>
          <w:color w:val="000000"/>
          <w:sz w:val="20"/>
          <w:szCs w:val="20"/>
        </w:rPr>
        <w:t xml:space="preserve"> </w:t>
      </w:r>
      <w:r w:rsidR="00C67F35" w:rsidRPr="00C67F35">
        <w:rPr>
          <w:rFonts w:ascii="Century Gothic" w:hAnsi="Century Gothic"/>
          <w:b/>
          <w:color w:val="000000"/>
          <w:sz w:val="20"/>
          <w:szCs w:val="20"/>
        </w:rPr>
        <w:t>do edukacyjnego sukcesu szkół zawodowych powiatów dzierżoniowskiego, kłodzkiego i świdnickiego”</w:t>
      </w:r>
    </w:p>
    <w:p w:rsidR="009C02E1" w:rsidRPr="00EA40B9" w:rsidRDefault="009C02E1" w:rsidP="00EC1C92">
      <w:pPr>
        <w:pStyle w:val="Textbody"/>
        <w:spacing w:after="0" w:line="240" w:lineRule="auto"/>
        <w:jc w:val="both"/>
      </w:pPr>
      <w:r>
        <w:rPr>
          <w:rFonts w:ascii="Century Gothic" w:hAnsi="Century Gothic"/>
          <w:color w:val="000000"/>
          <w:sz w:val="20"/>
          <w:szCs w:val="20"/>
        </w:rPr>
        <w:t>w</w:t>
      </w:r>
      <w:r w:rsidR="006C59D7">
        <w:rPr>
          <w:rFonts w:ascii="Century Gothic" w:hAnsi="Century Gothic"/>
          <w:color w:val="000000"/>
          <w:sz w:val="20"/>
          <w:szCs w:val="20"/>
        </w:rPr>
        <w:t> </w:t>
      </w:r>
      <w:r>
        <w:rPr>
          <w:rFonts w:ascii="Century Gothic" w:hAnsi="Century Gothic"/>
          <w:color w:val="000000"/>
          <w:sz w:val="20"/>
          <w:szCs w:val="20"/>
        </w:rPr>
        <w:t xml:space="preserve">ramach </w:t>
      </w:r>
      <w:r w:rsidRPr="00364DEB">
        <w:rPr>
          <w:rFonts w:ascii="Century Gothic" w:hAnsi="Century Gothic"/>
          <w:color w:val="000000"/>
          <w:sz w:val="20"/>
          <w:szCs w:val="20"/>
        </w:rPr>
        <w:t>Programu Fundusze Europejskie dla Dolnego Śląska 2021-2027 współfinansowanego ze środków Funduszu na rzecz Sprawiedliwej Transformacji</w:t>
      </w:r>
    </w:p>
    <w:p w:rsidR="009C02E1" w:rsidRDefault="009C02E1" w:rsidP="009C02E1">
      <w:pPr>
        <w:spacing w:after="0" w:line="240" w:lineRule="auto"/>
        <w:rPr>
          <w:rFonts w:ascii="Century Gothic" w:hAnsi="Century Gothic"/>
          <w:b/>
          <w:sz w:val="20"/>
          <w:szCs w:val="20"/>
        </w:rPr>
      </w:pPr>
    </w:p>
    <w:p w:rsidR="009C02E1" w:rsidRPr="0026264F" w:rsidRDefault="009C02E1" w:rsidP="009C02E1">
      <w:pPr>
        <w:spacing w:after="0" w:line="240" w:lineRule="auto"/>
        <w:rPr>
          <w:rFonts w:ascii="Century Gothic" w:hAnsi="Century Gothic"/>
          <w:b/>
          <w:sz w:val="20"/>
          <w:szCs w:val="20"/>
        </w:rPr>
      </w:pPr>
      <w:r w:rsidRPr="0026264F">
        <w:rPr>
          <w:rFonts w:ascii="Century Gothic" w:hAnsi="Century Gothic"/>
          <w:b/>
          <w:sz w:val="20"/>
          <w:szCs w:val="20"/>
        </w:rPr>
        <w:t>SZCZEGÓŁOWY OPIS PRZEDMIOTU ZAMÓWIENIA:</w:t>
      </w:r>
    </w:p>
    <w:p w:rsidR="009C02E1" w:rsidRDefault="009C02E1" w:rsidP="009C02E1">
      <w:pPr>
        <w:pStyle w:val="Textbody"/>
        <w:jc w:val="both"/>
        <w:rPr>
          <w:rFonts w:ascii="Century Gothic" w:hAnsi="Century Gothic"/>
          <w:sz w:val="20"/>
          <w:szCs w:val="20"/>
        </w:rPr>
      </w:pPr>
    </w:p>
    <w:p w:rsidR="00FF0C0F" w:rsidRDefault="009C02E1" w:rsidP="009C02E1">
      <w:pPr>
        <w:pStyle w:val="Textbody"/>
        <w:jc w:val="both"/>
        <w:rPr>
          <w:rFonts w:ascii="Century Gothic" w:hAnsi="Century Gothic"/>
          <w:i/>
          <w:sz w:val="20"/>
          <w:szCs w:val="20"/>
        </w:rPr>
      </w:pPr>
      <w:r w:rsidRPr="00E807F3">
        <w:rPr>
          <w:rFonts w:ascii="Century Gothic" w:hAnsi="Century Gothic"/>
          <w:i/>
          <w:sz w:val="20"/>
          <w:szCs w:val="20"/>
        </w:rPr>
        <w:t>Wszystkie nazwy własne i marki handlowe urządzeń i wyposażenia zawarte w opisie przedmiotu zamówienia, zostały użyte w celu sprecyzowania oczekiwań jakościowych i technologicznych Zamawiającego. Zamawiający dopuszcza rozwiązania równoważne. Jako rozwiązanie równoważne należy rozumieć zastosowanie innego niż opisane nazwą urządzenie lub elementu wyposażenia z zachowaniem takich samych parametrów technicznych, jakościowych, użytkowych i funkcjonalnych. Równoważne produkty i urządzenia muszą być dopuszczone do obrotu i stosowania z obowiązującym prawem. Wykonawca zobowiązany jest przedstawić na wezwanie zamawiającego szczegółową specyfikację, z której w sposób nie budzący żadnej wątpliwości Zamawiającego winno wynikać, iż zastosowany asortyment jest o takich samych lub lepszych parametrach technicznych, jakościowych, funkcjonalnych w odniesieniu do asortymentu określonego przez Zamawiającego w opisie przedmiotu zamówienia. Zamawiający informuje, iż w razie gdy w opisie przedmiotu zamówienia znajdują się znaki towarowe, za ofertę równoważną uznaje się ofertę spełniającą parametry indywidualnie wskazanego asortymentu określone przez jego producenta.</w:t>
      </w:r>
    </w:p>
    <w:p w:rsidR="00C67F35" w:rsidRPr="008A7AD7" w:rsidRDefault="00C67F35" w:rsidP="00C67F35">
      <w:pPr>
        <w:pStyle w:val="Textbody"/>
        <w:spacing w:after="0"/>
        <w:rPr>
          <w:rFonts w:ascii="Century Gothic" w:eastAsiaTheme="minorEastAsia" w:hAnsi="Century Gothic" w:cstheme="minorBidi"/>
          <w:b/>
          <w:bCs/>
          <w:color w:val="00000A"/>
          <w:kern w:val="0"/>
          <w:sz w:val="20"/>
          <w:szCs w:val="20"/>
          <w:lang w:eastAsia="pl-PL" w:bidi="ar-SA"/>
        </w:rPr>
      </w:pPr>
    </w:p>
    <w:p w:rsidR="00BF1051" w:rsidRPr="00BF1051" w:rsidRDefault="00BF1051" w:rsidP="00BF1051">
      <w:pPr>
        <w:pStyle w:val="Akapitzlist"/>
        <w:rPr>
          <w:rFonts w:ascii="Century Gothic" w:hAnsi="Century Gothic"/>
          <w:b/>
          <w:bCs/>
          <w:sz w:val="20"/>
          <w:szCs w:val="20"/>
        </w:rPr>
      </w:pPr>
      <w:r w:rsidRPr="008A7AD7">
        <w:rPr>
          <w:rFonts w:ascii="Century Gothic" w:hAnsi="Century Gothic"/>
          <w:bCs/>
          <w:sz w:val="20"/>
          <w:szCs w:val="20"/>
        </w:rPr>
        <w:t xml:space="preserve">Monitory interaktywne 75 cali – </w:t>
      </w:r>
      <w:r>
        <w:rPr>
          <w:rFonts w:ascii="Century Gothic" w:hAnsi="Century Gothic"/>
          <w:bCs/>
          <w:sz w:val="20"/>
          <w:szCs w:val="20"/>
        </w:rPr>
        <w:t>4</w:t>
      </w:r>
      <w:r w:rsidRPr="008A7AD7">
        <w:rPr>
          <w:rFonts w:ascii="Century Gothic" w:hAnsi="Century Gothic"/>
          <w:bCs/>
          <w:sz w:val="20"/>
          <w:szCs w:val="20"/>
        </w:rPr>
        <w:t xml:space="preserve"> szt.</w:t>
      </w:r>
      <w:r>
        <w:rPr>
          <w:rFonts w:ascii="Century Gothic" w:hAnsi="Century Gothic"/>
          <w:bCs/>
          <w:sz w:val="20"/>
          <w:szCs w:val="20"/>
        </w:rPr>
        <w:t>, adresy dostawy:</w:t>
      </w:r>
    </w:p>
    <w:p w:rsidR="00BF1051" w:rsidRDefault="007B48DE" w:rsidP="00BF1051">
      <w:pPr>
        <w:pStyle w:val="Akapitzlist"/>
        <w:numPr>
          <w:ilvl w:val="0"/>
          <w:numId w:val="22"/>
        </w:numPr>
        <w:rPr>
          <w:rFonts w:ascii="Century Gothic" w:hAnsi="Century Gothic"/>
          <w:b/>
          <w:bCs/>
          <w:sz w:val="20"/>
          <w:szCs w:val="20"/>
        </w:rPr>
      </w:pPr>
      <w:hyperlink r:id="rId8" w:history="1">
        <w:r w:rsidR="008A7AD7" w:rsidRPr="008A7AD7">
          <w:rPr>
            <w:rFonts w:ascii="Century Gothic" w:hAnsi="Century Gothic"/>
            <w:b/>
            <w:bCs/>
            <w:sz w:val="20"/>
            <w:szCs w:val="20"/>
          </w:rPr>
          <w:t>Zespół Szkół im. Jędrzeja Śniadeckiego</w:t>
        </w:r>
      </w:hyperlink>
      <w:r w:rsidR="00E7579C">
        <w:rPr>
          <w:rFonts w:ascii="Century Gothic" w:hAnsi="Century Gothic"/>
          <w:b/>
          <w:bCs/>
          <w:sz w:val="20"/>
          <w:szCs w:val="20"/>
        </w:rPr>
        <w:t xml:space="preserve">, ul. </w:t>
      </w:r>
      <w:hyperlink r:id="rId9" w:history="1">
        <w:r w:rsidR="008A7AD7" w:rsidRPr="008A7AD7">
          <w:rPr>
            <w:rFonts w:ascii="Century Gothic" w:hAnsi="Century Gothic"/>
            <w:b/>
            <w:bCs/>
            <w:sz w:val="20"/>
            <w:szCs w:val="20"/>
          </w:rPr>
          <w:t>Zamkowa 10, 58-130 Żarów</w:t>
        </w:r>
      </w:hyperlink>
      <w:r w:rsidR="00BF1051">
        <w:rPr>
          <w:rFonts w:ascii="Century Gothic" w:hAnsi="Century Gothic"/>
          <w:b/>
          <w:bCs/>
          <w:sz w:val="20"/>
          <w:szCs w:val="20"/>
        </w:rPr>
        <w:t xml:space="preserve"> – 2 sztuki</w:t>
      </w:r>
    </w:p>
    <w:p w:rsidR="00BF1051" w:rsidRPr="00BF1051" w:rsidRDefault="00BF1051" w:rsidP="00BF1051">
      <w:pPr>
        <w:pStyle w:val="Akapitzlist"/>
        <w:numPr>
          <w:ilvl w:val="0"/>
          <w:numId w:val="22"/>
        </w:numPr>
        <w:rPr>
          <w:rFonts w:ascii="Century Gothic" w:hAnsi="Century Gothic"/>
          <w:b/>
          <w:bCs/>
          <w:sz w:val="20"/>
          <w:szCs w:val="20"/>
        </w:rPr>
      </w:pPr>
      <w:r w:rsidRPr="00BF1051">
        <w:rPr>
          <w:rFonts w:ascii="Century Gothic" w:hAnsi="Century Gothic"/>
          <w:b/>
          <w:sz w:val="20"/>
          <w:szCs w:val="20"/>
        </w:rPr>
        <w:t xml:space="preserve">Zespół Szkół Budowlano-Elektrycznych im. Jana III Sobieskiego w Świdnicy, </w:t>
      </w:r>
      <w:r w:rsidRPr="00BF1051">
        <w:rPr>
          <w:rFonts w:ascii="Century Gothic" w:hAnsi="Century Gothic"/>
          <w:b/>
          <w:bCs/>
          <w:sz w:val="20"/>
          <w:szCs w:val="20"/>
        </w:rPr>
        <w:t>ul. Wałbrzyska 35-37, 58</w:t>
      </w:r>
      <w:r w:rsidRPr="00BF1051">
        <w:rPr>
          <w:rFonts w:ascii="Century Gothic" w:hAnsi="Century Gothic"/>
          <w:b/>
          <w:bCs/>
          <w:sz w:val="20"/>
          <w:szCs w:val="20"/>
        </w:rPr>
        <w:t>-100 Świdnica</w:t>
      </w:r>
      <w:r>
        <w:rPr>
          <w:rFonts w:ascii="Century Gothic" w:hAnsi="Century Gothic"/>
          <w:b/>
          <w:bCs/>
          <w:sz w:val="20"/>
          <w:szCs w:val="20"/>
        </w:rPr>
        <w:t xml:space="preserve"> – 2 sztuki</w:t>
      </w:r>
      <w:bookmarkStart w:id="0" w:name="_GoBack"/>
      <w:bookmarkEnd w:id="0"/>
    </w:p>
    <w:tbl>
      <w:tblPr>
        <w:tblW w:w="10343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4"/>
        <w:gridCol w:w="7229"/>
      </w:tblGrid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0862F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Przeznaczenie 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b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b/>
                <w:color w:val="000000"/>
                <w:sz w:val="18"/>
                <w:szCs w:val="18"/>
              </w:rPr>
              <w:t>Minimalne parametry techniczne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podświetlenie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LED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przekątna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min. 75" cali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typ panelu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IPS o jakości nie mniejszej niż Grade A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rozdzielczość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t xml:space="preserve">min. </w:t>
            </w:r>
            <w:r w:rsidRPr="00B22E22">
              <w:t>4K (3840 x 2160)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odświeżanie ekranu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nie mniej niż 60Hz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wyświetlane kolory / głębia kolorów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nie mniej niż 10 Bit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jasność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 xml:space="preserve">nie mniej niż  449 </w:t>
            </w:r>
            <w:proofErr w:type="spellStart"/>
            <w:r w:rsidRPr="00B22E22">
              <w:t>Nits</w:t>
            </w:r>
            <w:proofErr w:type="spellEnd"/>
            <w:r w:rsidRPr="00B22E22">
              <w:t xml:space="preserve"> (cd/m2)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czas reakcji matrycy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nie więcej niż 8 ms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kąt widzenia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min. 178 stopni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kontrast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nie mniej niż 5000:1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proporcje ekranu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16:9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szyba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hartowane, matowe, twardość powierzchni dotykowej nie mniejsza niż H7, antyodblaskowe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technologia niwelująca przestrzeń między szkłem a ekranem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06F25">
              <w:t>Żywotność podświetlania matrycy min. 50.000 godzin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1E24CA">
              <w:t>technologia dotyku / pozycjonowanie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1E24CA">
              <w:t>w technologii podczerwieni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1E24CA">
              <w:t xml:space="preserve">precyzja pozycjonowania 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1E24CA">
              <w:t>≤ 1 mm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1E24CA">
              <w:t>narzędzie obsługi dotyku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1E24CA">
              <w:t>dedykowany pisak lub palec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1E24CA">
              <w:lastRenderedPageBreak/>
              <w:t>liczba punktów dotykowych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1E24CA">
              <w:t>obsługa nie mniej niż 39 dotknięć w systemie Windows i nie mniej niż 19 dotknięć w systemie Android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1E24CA">
              <w:t>wspierane systemy operacyjne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1E24CA">
              <w:t>Windows 10 - 11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HDMI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nie mniej niż 3 wejścia i min. 1 wyjście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proofErr w:type="spellStart"/>
            <w:r w:rsidRPr="005E06D6">
              <w:t>DisplayPort</w:t>
            </w:r>
            <w:proofErr w:type="spellEnd"/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nie mniej niż 1 wejście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USB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 xml:space="preserve">nie mniej niż 2 porty USB 3.2 Gen 1x1 z przodu monitora oraz nie mniej niż 2 porty USB 3.2 Gen 1x1 w tylnej części monitora oraz </w:t>
            </w:r>
            <w:r>
              <w:t xml:space="preserve">min. </w:t>
            </w:r>
            <w:r w:rsidRPr="005E06D6">
              <w:t>1 port USB 2.0 w tylnej części monitora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USB typu C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nie mniej niż 2 porty USB typu C obsługujące technologię przesyłania dźwięku, obrazu i dotyku za pomocą jednego przewodu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porty USB interfejs dotykowy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nie mniej niż 1 port USB 3.2 Gen 1x1 typu B oraz nie mniej niż 1 port USB 2.0 typu B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port LAN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nie mniej niż 2 porty typu LAN w tym jeden min. 1000BASE-T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gniazdo OPS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TAK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Wi-Fi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TAK, min. w wersji 6.0 z obsługą częstotliwości 2,4 i 5 GHz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wyjście słuchawkowe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TAK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głośniki  wbudowane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wbudowane, minimum 2 x 19 W, na przedniej obudowie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>procesor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>nie mniej niż 4 rdzenie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>rozdzielczość systemu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t xml:space="preserve">min. </w:t>
            </w:r>
            <w:r w:rsidRPr="00411048">
              <w:t>4k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>RAM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>nie mniej niż 8 GB RAM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>pamięć wew.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 xml:space="preserve">nie mniej niż 128 GB typu </w:t>
            </w:r>
            <w:proofErr w:type="spellStart"/>
            <w:r w:rsidRPr="00411048">
              <w:t>eMMC</w:t>
            </w:r>
            <w:proofErr w:type="spellEnd"/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>moduł Bluetooth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>TAK, min. w wersji 5.2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>procesor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>nie mniej niż 4 rdzenie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zużycie energii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w trybie pracy max nie więcej niż 350 W, trybie czuwania nie więcej niż 0.5 W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możliwość pracy urządzenia przez 24/7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TAK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język Android / OSD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obsługa minimum 16 języków w tym języka Polskiego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 xml:space="preserve">tryb </w:t>
            </w:r>
            <w:proofErr w:type="spellStart"/>
            <w:r w:rsidRPr="00B60834">
              <w:t>plug&amp;play</w:t>
            </w:r>
            <w:proofErr w:type="spellEnd"/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TAK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uchwyt montażowy w zestawie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TAK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obsługa menadżera plików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TAK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certyfikaty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260" w:rsidRPr="00F84260" w:rsidRDefault="00F84260" w:rsidP="00F84260">
            <w:pPr>
              <w:spacing w:after="0" w:line="240" w:lineRule="auto"/>
            </w:pPr>
            <w:r w:rsidRPr="00F84260">
              <w:t>Certyfikat ISO 9001 oraz 14001 lub certyfikat równoważny dla producenta sprzętu (dostarczyć na wezwanie zamawiającego)</w:t>
            </w:r>
          </w:p>
          <w:p w:rsidR="00706F25" w:rsidRPr="000862FB" w:rsidRDefault="00F84260" w:rsidP="00F84260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F84260">
              <w:t>Deklaracja zgodności CE (dostarczyć na wezwanie zamawiającego)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dołączone wyposażenie i akcesoria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 xml:space="preserve">minimum dwa podwójne pisaki służące do dotyku i rysowania, uchwyt montażowy, pilot do zdalnego sterowania urządzeniem, minimum 1 sztuka przewodu HDMI, minimum 1 sztuka przewodu </w:t>
            </w:r>
            <w:proofErr w:type="spellStart"/>
            <w:r w:rsidRPr="00B60834">
              <w:t>touch</w:t>
            </w:r>
            <w:proofErr w:type="spellEnd"/>
            <w:r w:rsidRPr="00B60834">
              <w:t xml:space="preserve"> USB, przewód umożliwiający podłączenie urządzenia do zasilania</w:t>
            </w:r>
          </w:p>
        </w:tc>
      </w:tr>
      <w:tr w:rsidR="00FC7A30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Oprogr</w:t>
            </w:r>
            <w:r>
              <w:rPr>
                <w:rFonts w:eastAsia="Times New Roman" w:cstheme="minorHAnsi"/>
                <w:color w:val="000000"/>
              </w:rPr>
              <w:t>a</w:t>
            </w:r>
            <w:r w:rsidRPr="00DD1591">
              <w:rPr>
                <w:rFonts w:eastAsia="Times New Roman" w:cstheme="minorHAnsi"/>
                <w:color w:val="000000"/>
              </w:rPr>
              <w:t>mowanie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aplikacja do nanoszenia notatek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system aktualizacji monitora OTA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nanoszenie notatek na dowolny obraz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tryb białej tablicy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 xml:space="preserve">odtwarzanie plików audio, wideo, obrazów, 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pdf-ów, plików Office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wbudowana przeglądarka internetowa - możliwość otwierania standardowych stron internetowych  www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instalowania aplikacji Android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 xml:space="preserve">funkcja współdzielenia ekranu z tabletu / telefonu typu </w:t>
            </w:r>
            <w:proofErr w:type="spellStart"/>
            <w:r w:rsidRPr="00DD1591">
              <w:rPr>
                <w:rFonts w:eastAsia="Times New Roman" w:cstheme="minorHAnsi"/>
                <w:color w:val="000000"/>
              </w:rPr>
              <w:t>ScreenShare</w:t>
            </w:r>
            <w:proofErr w:type="spellEnd"/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biblioteka graficznych zasobów edukacyjnych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interaktywne przyrządy kreślarskie min. linijka, kątomierz, ekierka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lastRenderedPageBreak/>
              <w:t>możliwość pisania dwoma kolorami i różnym rozmiarem używając jednego podwójnego fizycznego pisaka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wbudowana funkcja rejestracji obrazu pod systemem android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uruchamiania dwóch wspieranych aplikacji obok siebie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pisania różnym kolorem na niezależnych obszarach roboczych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wykonywania zrzutów ekranu oraz jego nagrywania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funkcjonalność umożliwiająca notowanie na ruchomym obrazie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podglądu kilku źródeł w tym samym czasie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funkcjonalność służąca ochronie wzroku redukująca niebieskie światło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zmiany nazwy źródeł sygnału oraz wyboru źródła rozruchowego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funkcjonalność umożliwiająca zabezpieczenie dostępu do wspieranych aplikacji cyfrowym hasłem dostępu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przeprowadzania głosowań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wstawiania tabel w trybie białej tablicy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funkcjonalność umożliwiająca automatyczne wybudzanie monitora po wykryciu źródła sygnału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wstawiania figur 3D w trybie białej tablicy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wstawiania mapy myśli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funkcjonalność umożliwiająca planowanie uruchamiania i wyłączania urządzenia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 xml:space="preserve">funkcjonalność rozpoznawania kształtów 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oszczędzania energii w przypadku braku aktywności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korzystania z tzw. żółtych karteczek w trybie białej tablicy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współpraca z technologią INK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zmiany kompozycji ekranu tzn. tematów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 xml:space="preserve">możliwość zdalnego wyświetlania zdjęć 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i komentarzy na monitorze przez uczniów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</w:p>
        </w:tc>
      </w:tr>
      <w:tr w:rsidR="00FC7A30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C7A30" w:rsidRPr="000862FB" w:rsidRDefault="00FC7A30" w:rsidP="00FC7A30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lastRenderedPageBreak/>
              <w:t>Gwarancja</w:t>
            </w:r>
            <w:r>
              <w:t xml:space="preserve"> i serwis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A30" w:rsidRDefault="00FC7A30" w:rsidP="00FC7A30">
            <w:pPr>
              <w:spacing w:after="0" w:line="240" w:lineRule="auto"/>
            </w:pPr>
            <w:r>
              <w:t>min. 3 lata</w:t>
            </w:r>
            <w:r w:rsidRPr="00B60834">
              <w:t xml:space="preserve"> gwarancji </w:t>
            </w:r>
            <w:r>
              <w:t xml:space="preserve">Producenta, </w:t>
            </w:r>
            <w:r w:rsidRPr="00B60834">
              <w:t>wsparcie serwisu technicznego, telefonicznie lub on-line</w:t>
            </w:r>
            <w:r>
              <w:t>.</w:t>
            </w:r>
          </w:p>
          <w:p w:rsidR="00FC7A30" w:rsidRDefault="00FC7A30" w:rsidP="00FC7A30">
            <w:pPr>
              <w:spacing w:after="0" w:line="240" w:lineRule="auto"/>
            </w:pPr>
            <w:r w:rsidRPr="00FC7A30">
              <w:t>Serwis urządzeń musi być realizowany przez Producenta oferowanego Monitora</w:t>
            </w:r>
          </w:p>
          <w:p w:rsidR="00FC7A30" w:rsidRDefault="00FC7A30" w:rsidP="00FC7A30">
            <w:pPr>
              <w:spacing w:after="0" w:line="240" w:lineRule="auto"/>
              <w:jc w:val="both"/>
            </w:pPr>
          </w:p>
          <w:p w:rsidR="00FC7A30" w:rsidRPr="00FC7A30" w:rsidRDefault="00FC7A30" w:rsidP="00FC7A30">
            <w:pPr>
              <w:spacing w:after="0" w:line="240" w:lineRule="auto"/>
              <w:jc w:val="both"/>
            </w:pPr>
            <w:r w:rsidRPr="00FC7A30">
              <w:t>Zamawiający w formularzu ofertowym wymaga podania linku do Polskiego Serwisu Producenta oferowanego Monitora, zlokalizowanego na terenie Polski, który umożliwia:</w:t>
            </w:r>
          </w:p>
          <w:p w:rsidR="00FC7A30" w:rsidRPr="00FC7A30" w:rsidRDefault="00FC7A30" w:rsidP="00FC7A30">
            <w:pPr>
              <w:spacing w:after="0" w:line="240" w:lineRule="auto"/>
              <w:jc w:val="both"/>
            </w:pPr>
            <w:r w:rsidRPr="00FC7A30">
              <w:t>- Pobieranie oprogramowania, aktualnych sterowników w języku Polskim</w:t>
            </w:r>
          </w:p>
          <w:p w:rsidR="00FC7A30" w:rsidRPr="00FC7A30" w:rsidRDefault="00FC7A30" w:rsidP="00FC7A30">
            <w:pPr>
              <w:spacing w:after="0" w:line="240" w:lineRule="auto"/>
              <w:jc w:val="both"/>
            </w:pPr>
            <w:r w:rsidRPr="00FC7A30">
              <w:t>- Zgłoszeń serwisowych w języku Polskim</w:t>
            </w:r>
          </w:p>
          <w:p w:rsidR="00FC7A30" w:rsidRPr="00FC7A30" w:rsidRDefault="00FC7A30" w:rsidP="00FC7A30">
            <w:pPr>
              <w:spacing w:after="0" w:line="240" w:lineRule="auto"/>
              <w:jc w:val="both"/>
            </w:pPr>
          </w:p>
          <w:p w:rsidR="00FC7A30" w:rsidRPr="00FC7A30" w:rsidRDefault="00FC7A30" w:rsidP="00FC7A30">
            <w:pPr>
              <w:spacing w:after="0" w:line="240" w:lineRule="auto"/>
              <w:rPr>
                <w:b/>
              </w:rPr>
            </w:pPr>
            <w:r w:rsidRPr="00FC7A30">
              <w:rPr>
                <w:b/>
              </w:rPr>
              <w:t>W Przypadku nie podania linku oferta zostanie odrzucona.</w:t>
            </w:r>
          </w:p>
          <w:p w:rsidR="00FC7A30" w:rsidRPr="00FC7A30" w:rsidRDefault="00FC7A30" w:rsidP="00FC7A30">
            <w:pPr>
              <w:spacing w:after="0" w:line="240" w:lineRule="auto"/>
            </w:pPr>
          </w:p>
        </w:tc>
      </w:tr>
      <w:tr w:rsidR="00FC7A30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C7A30" w:rsidRPr="00FC7A30" w:rsidRDefault="00FC7A30" w:rsidP="00FC7A30">
            <w:pPr>
              <w:spacing w:after="0" w:line="240" w:lineRule="auto"/>
              <w:jc w:val="both"/>
            </w:pPr>
            <w:r w:rsidRPr="00FC7A30">
              <w:t>Parametry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A30" w:rsidRPr="00FC7A30" w:rsidRDefault="00FC7A30" w:rsidP="00FC7A30">
            <w:pPr>
              <w:spacing w:after="0" w:line="240" w:lineRule="auto"/>
              <w:jc w:val="both"/>
            </w:pPr>
            <w:r w:rsidRPr="00FC7A30">
              <w:t>Zamawiający w formularzu ofertowym wymaga podania linku do Polskiej Strony Producenta oferowanego modelu z rzeczywistymi parametrami w języku Polskim celem sprawdzenia i potwierdzenia wszystkich parametrów sprzętowych. Zamawiający nie dopuszcza załączania kart katalogowych do oferty.</w:t>
            </w:r>
          </w:p>
          <w:p w:rsidR="00FC7A30" w:rsidRPr="00FC7A30" w:rsidRDefault="00FC7A30" w:rsidP="00FC7A30">
            <w:pPr>
              <w:spacing w:after="0" w:line="240" w:lineRule="auto"/>
              <w:jc w:val="both"/>
            </w:pPr>
          </w:p>
          <w:p w:rsidR="00FC7A30" w:rsidRPr="00F84260" w:rsidRDefault="00FC7A30" w:rsidP="00FC7A30">
            <w:pPr>
              <w:spacing w:after="0" w:line="240" w:lineRule="auto"/>
              <w:jc w:val="both"/>
              <w:rPr>
                <w:b/>
              </w:rPr>
            </w:pPr>
            <w:r w:rsidRPr="00F84260">
              <w:rPr>
                <w:b/>
              </w:rPr>
              <w:t>W Przypadku nie podania linku czy nie potwierdzenia na stronie Producenta któregokolwiek z parametrów sprzętowych oferta zostanie odrzucona.</w:t>
            </w:r>
          </w:p>
        </w:tc>
      </w:tr>
      <w:tr w:rsidR="00FC7A30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C7A30" w:rsidRPr="00FC7A30" w:rsidRDefault="00FC7A30" w:rsidP="00FC7A30">
            <w:pPr>
              <w:spacing w:after="0" w:line="240" w:lineRule="auto"/>
              <w:jc w:val="both"/>
            </w:pPr>
            <w:r w:rsidRPr="00FC7A30">
              <w:lastRenderedPageBreak/>
              <w:t>Montaż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A30" w:rsidRPr="00FC7A30" w:rsidRDefault="00FC7A30" w:rsidP="00FC7A30">
            <w:pPr>
              <w:spacing w:after="0" w:line="240" w:lineRule="auto"/>
              <w:jc w:val="both"/>
            </w:pPr>
            <w:r w:rsidRPr="00FC7A30">
              <w:t xml:space="preserve">Wykonawca zapewni montaż ścienny dostarczonego sprzętu zgodnie ze sztuką budowlaną (montaż min. 6 śrubami), okablowanie kablami HDMI, zasilającymi i USB o długości min 10 </w:t>
            </w:r>
            <w:proofErr w:type="spellStart"/>
            <w:r w:rsidRPr="00FC7A30">
              <w:t>mb</w:t>
            </w:r>
            <w:proofErr w:type="spellEnd"/>
            <w:r w:rsidRPr="00FC7A30">
              <w:t xml:space="preserve"> w listwach maskujących.</w:t>
            </w:r>
          </w:p>
        </w:tc>
      </w:tr>
    </w:tbl>
    <w:p w:rsidR="00FF0C0F" w:rsidRPr="00BF4CE9" w:rsidRDefault="00FF0C0F" w:rsidP="00706F25">
      <w:pPr>
        <w:pStyle w:val="Textbody"/>
        <w:spacing w:after="0"/>
      </w:pPr>
    </w:p>
    <w:sectPr w:rsidR="00FF0C0F" w:rsidRPr="00BF4CE9" w:rsidSect="00AC7ECC">
      <w:headerReference w:type="default" r:id="rId10"/>
      <w:footerReference w:type="default" r:id="rId11"/>
      <w:pgSz w:w="11906" w:h="16838"/>
      <w:pgMar w:top="142" w:right="720" w:bottom="720" w:left="720" w:header="0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B48DE" w:rsidRDefault="007B48DE" w:rsidP="00E03E4E">
      <w:pPr>
        <w:spacing w:after="0" w:line="240" w:lineRule="auto"/>
      </w:pPr>
      <w:r>
        <w:separator/>
      </w:r>
    </w:p>
  </w:endnote>
  <w:endnote w:type="continuationSeparator" w:id="0">
    <w:p w:rsidR="007B48DE" w:rsidRDefault="007B48DE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Cambria"/>
    <w:panose1 w:val="00000000000000000000"/>
    <w:charset w:val="00"/>
    <w:family w:val="roman"/>
    <w:notTrueType/>
    <w:pitch w:val="default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20912" w:type="dxa"/>
      <w:tblLook w:val="04A0" w:firstRow="1" w:lastRow="0" w:firstColumn="1" w:lastColumn="0" w:noHBand="0" w:noVBand="1"/>
    </w:tblPr>
    <w:tblGrid>
      <w:gridCol w:w="10456"/>
      <w:gridCol w:w="10456"/>
    </w:tblGrid>
    <w:tr w:rsidR="00C67F35" w:rsidTr="00C67F35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C67F35" w:rsidRPr="00E027EF" w:rsidRDefault="00C67F35" w:rsidP="00C67F35">
          <w:pPr>
            <w:tabs>
              <w:tab w:val="center" w:pos="4536"/>
              <w:tab w:val="right" w:pos="9072"/>
            </w:tabs>
            <w:spacing w:after="0" w:line="240" w:lineRule="auto"/>
            <w:ind w:left="-108" w:right="-429"/>
            <w:rPr>
              <w:rFonts w:ascii="Arial" w:eastAsiaTheme="minorHAnsi" w:hAnsi="Arial" w:cs="Arial"/>
              <w:color w:val="000000" w:themeColor="text1"/>
              <w:sz w:val="16"/>
              <w:szCs w:val="16"/>
            </w:rPr>
          </w:pP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</w:rPr>
              <w:t>sekretariat@krzyzowa.pl</w:t>
            </w:r>
          </w:hyperlink>
          <w:r>
            <w:rPr>
              <w:rFonts w:ascii="Arial" w:hAnsi="Arial" w:cs="Arial"/>
              <w:color w:val="000000" w:themeColor="text1"/>
              <w:sz w:val="16"/>
              <w:szCs w:val="16"/>
            </w:rPr>
            <w:t>, tel. 74 85 00 301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Human Partner Sp. z o.o., Sudecka Izba Przemysłowo - Handlowa w Świdnicy</w:t>
          </w:r>
        </w:p>
      </w:tc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C67F35" w:rsidRPr="00880076" w:rsidRDefault="00C67F35" w:rsidP="00C67F35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</w:p>
      </w:tc>
    </w:tr>
  </w:tbl>
  <w:p w:rsidR="00021EA3" w:rsidRDefault="00021EA3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B48DE" w:rsidRDefault="007B48DE" w:rsidP="00E03E4E">
      <w:pPr>
        <w:spacing w:after="0" w:line="240" w:lineRule="auto"/>
      </w:pPr>
      <w:r>
        <w:separator/>
      </w:r>
    </w:p>
  </w:footnote>
  <w:footnote w:type="continuationSeparator" w:id="0">
    <w:p w:rsidR="007B48DE" w:rsidRDefault="007B48DE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1EA3" w:rsidRDefault="00021EA3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9" name="Obraz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021EA3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C67F35" w:rsidRDefault="00C67F35" w:rsidP="00C67F35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 kłodzkiego i świdnickiego”</w:t>
          </w:r>
        </w:p>
        <w:p w:rsidR="00021EA3" w:rsidRDefault="00021EA3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021EA3" w:rsidRPr="00374CCD" w:rsidRDefault="00021EA3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1F1B4B"/>
    <w:multiLevelType w:val="hybridMultilevel"/>
    <w:tmpl w:val="7F1CCD1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7052D1"/>
    <w:multiLevelType w:val="hybridMultilevel"/>
    <w:tmpl w:val="137E181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8504B6"/>
    <w:multiLevelType w:val="hybridMultilevel"/>
    <w:tmpl w:val="F028BD4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DD713C8"/>
    <w:multiLevelType w:val="hybridMultilevel"/>
    <w:tmpl w:val="4B1A7A90"/>
    <w:lvl w:ilvl="0" w:tplc="B942B6BE">
      <w:start w:val="1"/>
      <w:numFmt w:val="lowerLetter"/>
      <w:lvlText w:val="%1)"/>
      <w:lvlJc w:val="left"/>
      <w:pPr>
        <w:ind w:left="720" w:hanging="360"/>
      </w:pPr>
      <w:rPr>
        <w:rFonts w:ascii="Calibri" w:hAnsi="Calibri" w:hint="default"/>
        <w:b w:val="0"/>
        <w:i w:val="0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0691C59"/>
    <w:multiLevelType w:val="hybridMultilevel"/>
    <w:tmpl w:val="97984C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62D5678"/>
    <w:multiLevelType w:val="hybridMultilevel"/>
    <w:tmpl w:val="C062E05E"/>
    <w:lvl w:ilvl="0" w:tplc="E72AB7A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8F50304"/>
    <w:multiLevelType w:val="hybridMultilevel"/>
    <w:tmpl w:val="0DF0F4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8A6BC3"/>
    <w:multiLevelType w:val="hybridMultilevel"/>
    <w:tmpl w:val="DDF801D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7EB62C3"/>
    <w:multiLevelType w:val="hybridMultilevel"/>
    <w:tmpl w:val="DDF801D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C43225A"/>
    <w:multiLevelType w:val="hybridMultilevel"/>
    <w:tmpl w:val="0B145894"/>
    <w:lvl w:ilvl="0" w:tplc="94A617D6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F35A57"/>
    <w:multiLevelType w:val="multilevel"/>
    <w:tmpl w:val="28849C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A9C06C3"/>
    <w:multiLevelType w:val="hybridMultilevel"/>
    <w:tmpl w:val="DDF801D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1027DAC"/>
    <w:multiLevelType w:val="hybridMultilevel"/>
    <w:tmpl w:val="DDF801D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4674255"/>
    <w:multiLevelType w:val="hybridMultilevel"/>
    <w:tmpl w:val="A12A728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46F7614"/>
    <w:multiLevelType w:val="hybridMultilevel"/>
    <w:tmpl w:val="B7D4E474"/>
    <w:lvl w:ilvl="0" w:tplc="5DC83334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5351E26"/>
    <w:multiLevelType w:val="hybridMultilevel"/>
    <w:tmpl w:val="0726AE3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B2575B6"/>
    <w:multiLevelType w:val="hybridMultilevel"/>
    <w:tmpl w:val="37448B3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54D0B2F"/>
    <w:multiLevelType w:val="hybridMultilevel"/>
    <w:tmpl w:val="6B8AECF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A5E6AFB"/>
    <w:multiLevelType w:val="hybridMultilevel"/>
    <w:tmpl w:val="BB540C9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6B155D6E"/>
    <w:multiLevelType w:val="hybridMultilevel"/>
    <w:tmpl w:val="353A7A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EEC2D90"/>
    <w:multiLevelType w:val="hybridMultilevel"/>
    <w:tmpl w:val="46FCC1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D962977"/>
    <w:multiLevelType w:val="hybridMultilevel"/>
    <w:tmpl w:val="A12A728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20"/>
  </w:num>
  <w:num w:numId="3">
    <w:abstractNumId w:val="19"/>
  </w:num>
  <w:num w:numId="4">
    <w:abstractNumId w:val="16"/>
  </w:num>
  <w:num w:numId="5">
    <w:abstractNumId w:val="6"/>
  </w:num>
  <w:num w:numId="6">
    <w:abstractNumId w:val="8"/>
  </w:num>
  <w:num w:numId="7">
    <w:abstractNumId w:val="12"/>
  </w:num>
  <w:num w:numId="8">
    <w:abstractNumId w:val="7"/>
  </w:num>
  <w:num w:numId="9">
    <w:abstractNumId w:val="2"/>
  </w:num>
  <w:num w:numId="10">
    <w:abstractNumId w:val="3"/>
  </w:num>
  <w:num w:numId="11">
    <w:abstractNumId w:val="9"/>
  </w:num>
  <w:num w:numId="12">
    <w:abstractNumId w:val="11"/>
  </w:num>
  <w:num w:numId="13">
    <w:abstractNumId w:val="15"/>
  </w:num>
  <w:num w:numId="14">
    <w:abstractNumId w:val="0"/>
  </w:num>
  <w:num w:numId="15">
    <w:abstractNumId w:val="4"/>
  </w:num>
  <w:num w:numId="16">
    <w:abstractNumId w:val="10"/>
  </w:num>
  <w:num w:numId="17">
    <w:abstractNumId w:val="1"/>
  </w:num>
  <w:num w:numId="18">
    <w:abstractNumId w:val="5"/>
  </w:num>
  <w:num w:numId="19">
    <w:abstractNumId w:val="18"/>
  </w:num>
  <w:num w:numId="20">
    <w:abstractNumId w:val="13"/>
  </w:num>
  <w:num w:numId="21">
    <w:abstractNumId w:val="21"/>
  </w:num>
  <w:num w:numId="22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21EA3"/>
    <w:rsid w:val="0004610A"/>
    <w:rsid w:val="00056356"/>
    <w:rsid w:val="000648D4"/>
    <w:rsid w:val="00073B3A"/>
    <w:rsid w:val="000F11CC"/>
    <w:rsid w:val="001C7DF3"/>
    <w:rsid w:val="00233311"/>
    <w:rsid w:val="00236F13"/>
    <w:rsid w:val="002558F1"/>
    <w:rsid w:val="00260264"/>
    <w:rsid w:val="002868FF"/>
    <w:rsid w:val="002B0427"/>
    <w:rsid w:val="002C57C0"/>
    <w:rsid w:val="00322CB1"/>
    <w:rsid w:val="00326A65"/>
    <w:rsid w:val="00367003"/>
    <w:rsid w:val="00374CCD"/>
    <w:rsid w:val="003815EA"/>
    <w:rsid w:val="0038192E"/>
    <w:rsid w:val="003C42E2"/>
    <w:rsid w:val="003C631D"/>
    <w:rsid w:val="003E073C"/>
    <w:rsid w:val="003F52EA"/>
    <w:rsid w:val="00510A2A"/>
    <w:rsid w:val="00556D95"/>
    <w:rsid w:val="005C7B09"/>
    <w:rsid w:val="005E0C2D"/>
    <w:rsid w:val="005F2714"/>
    <w:rsid w:val="00607BD7"/>
    <w:rsid w:val="00636D3F"/>
    <w:rsid w:val="006C253E"/>
    <w:rsid w:val="006C59D7"/>
    <w:rsid w:val="006E54C7"/>
    <w:rsid w:val="00706F25"/>
    <w:rsid w:val="00755745"/>
    <w:rsid w:val="007641C6"/>
    <w:rsid w:val="00771489"/>
    <w:rsid w:val="007B48DE"/>
    <w:rsid w:val="007D27D9"/>
    <w:rsid w:val="007E545F"/>
    <w:rsid w:val="00806596"/>
    <w:rsid w:val="00880076"/>
    <w:rsid w:val="008A7AD7"/>
    <w:rsid w:val="008C7057"/>
    <w:rsid w:val="008D3BBF"/>
    <w:rsid w:val="008F20D5"/>
    <w:rsid w:val="0090192B"/>
    <w:rsid w:val="009146D8"/>
    <w:rsid w:val="009567C0"/>
    <w:rsid w:val="009B4387"/>
    <w:rsid w:val="009C02E1"/>
    <w:rsid w:val="009D1D45"/>
    <w:rsid w:val="00A45F44"/>
    <w:rsid w:val="00A86E71"/>
    <w:rsid w:val="00A90D71"/>
    <w:rsid w:val="00AC7ECC"/>
    <w:rsid w:val="00B073AE"/>
    <w:rsid w:val="00B70CF7"/>
    <w:rsid w:val="00BE12AB"/>
    <w:rsid w:val="00BF1051"/>
    <w:rsid w:val="00BF4BF6"/>
    <w:rsid w:val="00BF4CE9"/>
    <w:rsid w:val="00C31F93"/>
    <w:rsid w:val="00C62588"/>
    <w:rsid w:val="00C67F35"/>
    <w:rsid w:val="00C71EFD"/>
    <w:rsid w:val="00CD4255"/>
    <w:rsid w:val="00D90C81"/>
    <w:rsid w:val="00DD6EE0"/>
    <w:rsid w:val="00DF6040"/>
    <w:rsid w:val="00E03E4E"/>
    <w:rsid w:val="00E27651"/>
    <w:rsid w:val="00E7579C"/>
    <w:rsid w:val="00E9409A"/>
    <w:rsid w:val="00EA6345"/>
    <w:rsid w:val="00EA6BAF"/>
    <w:rsid w:val="00EB0830"/>
    <w:rsid w:val="00EC1C92"/>
    <w:rsid w:val="00EE2BE5"/>
    <w:rsid w:val="00F62A72"/>
    <w:rsid w:val="00F84260"/>
    <w:rsid w:val="00FB398C"/>
    <w:rsid w:val="00FB768E"/>
    <w:rsid w:val="00FC636E"/>
    <w:rsid w:val="00FC7A30"/>
    <w:rsid w:val="00FF0C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F1A4DC0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FF0C0F"/>
    <w:pPr>
      <w:spacing w:after="200" w:line="276" w:lineRule="auto"/>
    </w:pPr>
    <w:rPr>
      <w:rFonts w:eastAsiaTheme="minorEastAsia"/>
      <w:color w:val="00000A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F0C0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FF0C0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FF0C0F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F0C0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F0C0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F0C0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F0C0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F0C0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F0C0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1Znak">
    <w:name w:val="Nagłówek 1 Znak"/>
    <w:basedOn w:val="Domylnaczcionkaakapitu"/>
    <w:link w:val="Nagwek1"/>
    <w:uiPriority w:val="9"/>
    <w:rsid w:val="00FF0C0F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FF0C0F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FF0C0F"/>
    <w:rPr>
      <w:rFonts w:eastAsiaTheme="majorEastAsia" w:cstheme="majorBidi"/>
      <w:color w:val="2F5496" w:themeColor="accent1" w:themeShade="BF"/>
      <w:sz w:val="28"/>
      <w:szCs w:val="28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F0C0F"/>
    <w:rPr>
      <w:rFonts w:eastAsiaTheme="majorEastAsia" w:cstheme="majorBidi"/>
      <w:i/>
      <w:iCs/>
      <w:color w:val="2F5496" w:themeColor="accent1" w:themeShade="BF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F0C0F"/>
    <w:rPr>
      <w:rFonts w:eastAsiaTheme="majorEastAsia" w:cstheme="majorBidi"/>
      <w:color w:val="2F5496" w:themeColor="accent1" w:themeShade="BF"/>
      <w:lang w:eastAsia="pl-PL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F0C0F"/>
    <w:rPr>
      <w:rFonts w:eastAsiaTheme="majorEastAsia" w:cstheme="majorBidi"/>
      <w:i/>
      <w:iCs/>
      <w:color w:val="595959" w:themeColor="text1" w:themeTint="A6"/>
      <w:lang w:eastAsia="pl-PL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F0C0F"/>
    <w:rPr>
      <w:rFonts w:eastAsiaTheme="majorEastAsia" w:cstheme="majorBidi"/>
      <w:color w:val="595959" w:themeColor="text1" w:themeTint="A6"/>
      <w:lang w:eastAsia="pl-PL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F0C0F"/>
    <w:rPr>
      <w:rFonts w:eastAsiaTheme="majorEastAsia" w:cstheme="majorBidi"/>
      <w:i/>
      <w:iCs/>
      <w:color w:val="272727" w:themeColor="text1" w:themeTint="D8"/>
      <w:lang w:eastAsia="pl-PL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F0C0F"/>
    <w:rPr>
      <w:rFonts w:eastAsiaTheme="majorEastAsia" w:cstheme="majorBidi"/>
      <w:color w:val="272727" w:themeColor="text1" w:themeTint="D8"/>
      <w:lang w:eastAsia="pl-PL"/>
    </w:rPr>
  </w:style>
  <w:style w:type="paragraph" w:styleId="Tytu">
    <w:name w:val="Title"/>
    <w:basedOn w:val="Normalny"/>
    <w:next w:val="Normalny"/>
    <w:link w:val="TytuZnak"/>
    <w:uiPriority w:val="10"/>
    <w:qFormat/>
    <w:rsid w:val="00FF0C0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FF0C0F"/>
    <w:rPr>
      <w:rFonts w:asciiTheme="majorHAnsi" w:eastAsiaTheme="majorEastAsia" w:hAnsiTheme="majorHAnsi" w:cstheme="majorBidi"/>
      <w:color w:val="00000A"/>
      <w:spacing w:val="-10"/>
      <w:kern w:val="28"/>
      <w:sz w:val="56"/>
      <w:szCs w:val="56"/>
      <w:lang w:eastAsia="pl-PL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F0C0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FF0C0F"/>
    <w:rPr>
      <w:rFonts w:eastAsiaTheme="majorEastAsia" w:cstheme="majorBidi"/>
      <w:color w:val="595959" w:themeColor="text1" w:themeTint="A6"/>
      <w:spacing w:val="15"/>
      <w:sz w:val="28"/>
      <w:szCs w:val="28"/>
      <w:lang w:eastAsia="pl-PL"/>
    </w:rPr>
  </w:style>
  <w:style w:type="paragraph" w:styleId="Cytat">
    <w:name w:val="Quote"/>
    <w:basedOn w:val="Normalny"/>
    <w:next w:val="Normalny"/>
    <w:link w:val="CytatZnak"/>
    <w:uiPriority w:val="29"/>
    <w:qFormat/>
    <w:rsid w:val="00FF0C0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FF0C0F"/>
    <w:rPr>
      <w:rFonts w:eastAsiaTheme="minorEastAsia"/>
      <w:i/>
      <w:iCs/>
      <w:color w:val="404040" w:themeColor="text1" w:themeTint="BF"/>
      <w:lang w:eastAsia="pl-PL"/>
    </w:rPr>
  </w:style>
  <w:style w:type="paragraph" w:styleId="Akapitzlist">
    <w:name w:val="List Paragraph"/>
    <w:basedOn w:val="Normalny"/>
    <w:uiPriority w:val="34"/>
    <w:qFormat/>
    <w:rsid w:val="00FF0C0F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FF0C0F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F0C0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F0C0F"/>
    <w:rPr>
      <w:rFonts w:eastAsiaTheme="minorEastAsia"/>
      <w:i/>
      <w:iCs/>
      <w:color w:val="2F5496" w:themeColor="accent1" w:themeShade="BF"/>
      <w:lang w:eastAsia="pl-PL"/>
    </w:rPr>
  </w:style>
  <w:style w:type="character" w:styleId="Odwoanieintensywne">
    <w:name w:val="Intense Reference"/>
    <w:basedOn w:val="Domylnaczcionkaakapitu"/>
    <w:uiPriority w:val="32"/>
    <w:qFormat/>
    <w:rsid w:val="00FF0C0F"/>
    <w:rPr>
      <w:b/>
      <w:bCs/>
      <w:smallCaps/>
      <w:color w:val="2F5496" w:themeColor="accent1" w:themeShade="BF"/>
      <w:spacing w:val="5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FF0C0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FF0C0F"/>
    <w:rPr>
      <w:rFonts w:eastAsiaTheme="minorEastAsia"/>
      <w:color w:val="00000A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FF0C0F"/>
    <w:rPr>
      <w:vertAlign w:val="superscript"/>
    </w:rPr>
  </w:style>
  <w:style w:type="paragraph" w:customStyle="1" w:styleId="Textbody">
    <w:name w:val="Text body"/>
    <w:basedOn w:val="Normalny"/>
    <w:rsid w:val="009C02E1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character" w:styleId="Uwydatnienie">
    <w:name w:val="Emphasis"/>
    <w:basedOn w:val="Domylnaczcionkaakapitu"/>
    <w:uiPriority w:val="20"/>
    <w:qFormat/>
    <w:rsid w:val="00BF1051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ogle.com/search?sca_esv=cb0b2358a0071c17&amp;rlz=1C1GCCU_plPL1161PL1161&amp;sxsrf=ANbL-n5Kc_8g5qd9SdmARKn-YM_BpWnuxw:1772526021586&amp;q=Zesp%C3%B3%C5%82+Szk%C3%B3%C5%82+im.+J%C4%99drzeja+%C5%9Aniadeckiego&amp;si=AL3DRZELanY_V96Y0q8q1FLKlfOvH_NlT58VxGyuYFaMYKzFM2FSmKOzbPiFD_PUk_L7a5smX7a9jGDCN3i0bs2eZ0wZ8JecZXGi28bhVJBtPXnaWdbiignrOXrLGxZHZEGwKXHJOZgqR6FN_45CdbNmkp9oUqYINA%3D%3D&amp;sa=X&amp;sqi=2&amp;ved=2ahUKEwjOsvz-pYOTAxW2VfEDHRj2AIQQ_coHegQIKxAB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google.com/maps/place/data=!4m2!3m1!1s0x470fae127ddba9cf:0x23b073744c2a0d04?sa=X&amp;ved=1t:8290&amp;ictx=111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DE99991-C262-4392-A62D-96737054A8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</TotalTime>
  <Pages>4</Pages>
  <Words>1165</Words>
  <Characters>6994</Characters>
  <Application>Microsoft Office Word</Application>
  <DocSecurity>0</DocSecurity>
  <Lines>58</Lines>
  <Paragraphs>16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8143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Kasia</cp:lastModifiedBy>
  <cp:revision>22</cp:revision>
  <cp:lastPrinted>2025-04-23T09:52:00Z</cp:lastPrinted>
  <dcterms:created xsi:type="dcterms:W3CDTF">2025-05-12T08:32:00Z</dcterms:created>
  <dcterms:modified xsi:type="dcterms:W3CDTF">2026-03-03T12:07:00Z</dcterms:modified>
</cp:coreProperties>
</file>